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ED3BB" w14:textId="5B54E42B" w:rsidR="00DE6E12" w:rsidRDefault="00DE6E12" w:rsidP="00DE6E12">
      <w:pPr>
        <w:pStyle w:val="Default"/>
      </w:pPr>
    </w:p>
    <w:p w14:paraId="063D5E9D" w14:textId="77777777" w:rsidR="00DE6E12" w:rsidRPr="00DE6E12" w:rsidRDefault="00DE6E12" w:rsidP="00DE6E12">
      <w:pPr>
        <w:pStyle w:val="Default"/>
        <w:rPr>
          <w:rFonts w:asciiTheme="minorHAnsi" w:hAnsiTheme="minorHAnsi" w:cstheme="minorHAnsi"/>
          <w:sz w:val="20"/>
          <w:szCs w:val="20"/>
        </w:rPr>
      </w:pPr>
    </w:p>
    <w:p w14:paraId="7B6370EB" w14:textId="77777777" w:rsidR="00DE6E12" w:rsidRPr="00C2565B" w:rsidRDefault="00DE6E12" w:rsidP="00DE6E12">
      <w:pPr>
        <w:pStyle w:val="Default"/>
        <w:rPr>
          <w:rFonts w:asciiTheme="minorHAnsi" w:hAnsiTheme="minorHAnsi" w:cstheme="minorHAnsi"/>
          <w:sz w:val="20"/>
          <w:szCs w:val="20"/>
        </w:rPr>
      </w:pPr>
      <w:r w:rsidRPr="00C2565B">
        <w:rPr>
          <w:rFonts w:asciiTheme="minorHAnsi" w:hAnsiTheme="minorHAnsi" w:cstheme="minorHAnsi"/>
          <w:b/>
          <w:bCs/>
          <w:sz w:val="20"/>
          <w:szCs w:val="20"/>
        </w:rPr>
        <w:t xml:space="preserve">Insättningsgarantin </w:t>
      </w:r>
    </w:p>
    <w:p w14:paraId="30EFD6F1" w14:textId="77777777" w:rsidR="00DE6E12" w:rsidRPr="00C2565B" w:rsidRDefault="00DE6E12" w:rsidP="00DE6E12">
      <w:pPr>
        <w:pStyle w:val="Default"/>
        <w:rPr>
          <w:rFonts w:asciiTheme="minorHAnsi" w:hAnsiTheme="minorHAnsi" w:cstheme="minorHAnsi"/>
          <w:sz w:val="20"/>
          <w:szCs w:val="20"/>
        </w:rPr>
      </w:pPr>
      <w:r w:rsidRPr="00C2565B">
        <w:rPr>
          <w:rFonts w:asciiTheme="minorHAnsi" w:hAnsiTheme="minorHAnsi" w:cstheme="minorHAnsi"/>
          <w:sz w:val="20"/>
          <w:szCs w:val="20"/>
        </w:rPr>
        <w:t xml:space="preserve">Insättningsgarantin innebär att staten garanterar de pengar du har satt in på konton hos banker, kreditmarknadsföretag och värdepappersbolag. Det betyder att du som kund får ersättning av staten om ett institut går i konkurs eller när Finansinspektionen beslutar att insättningsgarantin ska träda in. </w:t>
      </w:r>
    </w:p>
    <w:p w14:paraId="7C15A0DB" w14:textId="77777777" w:rsidR="00DE6E12" w:rsidRPr="00C2565B" w:rsidRDefault="00DE6E12" w:rsidP="00DE6E12">
      <w:pPr>
        <w:pStyle w:val="Default"/>
        <w:rPr>
          <w:rFonts w:asciiTheme="minorHAnsi" w:hAnsiTheme="minorHAnsi" w:cstheme="minorHAnsi"/>
          <w:sz w:val="20"/>
          <w:szCs w:val="20"/>
        </w:rPr>
      </w:pPr>
      <w:r w:rsidRPr="00C2565B">
        <w:rPr>
          <w:rFonts w:asciiTheme="minorHAnsi" w:hAnsiTheme="minorHAnsi" w:cstheme="minorHAnsi"/>
          <w:sz w:val="20"/>
          <w:szCs w:val="20"/>
        </w:rPr>
        <w:t xml:space="preserve">Instituten som är anslutna till insättningsgarantin har Finansinspektionens tillstånd att ta emot kunders pengar på konto. </w:t>
      </w:r>
    </w:p>
    <w:p w14:paraId="64C8F26F" w14:textId="029998AC" w:rsidR="00DE6E12" w:rsidRPr="00C2565B" w:rsidRDefault="00DE6E12" w:rsidP="00DE6E12">
      <w:pPr>
        <w:pStyle w:val="Default"/>
        <w:rPr>
          <w:rFonts w:asciiTheme="minorHAnsi" w:hAnsiTheme="minorHAnsi" w:cstheme="minorHAnsi"/>
          <w:sz w:val="20"/>
          <w:szCs w:val="20"/>
        </w:rPr>
      </w:pPr>
      <w:r w:rsidRPr="00C2565B">
        <w:rPr>
          <w:rFonts w:asciiTheme="minorHAnsi" w:hAnsiTheme="minorHAnsi" w:cstheme="minorHAnsi"/>
          <w:sz w:val="20"/>
          <w:szCs w:val="20"/>
        </w:rPr>
        <w:t xml:space="preserve">Insättningsgarantin ersätter kapital och upplupen ränta upp till ett maximalt belopp om </w:t>
      </w:r>
      <w:r w:rsidR="00D1156C">
        <w:rPr>
          <w:rFonts w:asciiTheme="minorHAnsi" w:hAnsiTheme="minorHAnsi" w:cstheme="minorHAnsi"/>
          <w:sz w:val="20"/>
          <w:szCs w:val="20"/>
        </w:rPr>
        <w:t>1 050 000</w:t>
      </w:r>
      <w:r w:rsidRPr="00C2565B">
        <w:rPr>
          <w:rFonts w:asciiTheme="minorHAnsi" w:hAnsiTheme="minorHAnsi" w:cstheme="minorHAnsi"/>
          <w:sz w:val="20"/>
          <w:szCs w:val="20"/>
        </w:rPr>
        <w:t xml:space="preserve"> svenska kronor per person och institut. </w:t>
      </w:r>
    </w:p>
    <w:p w14:paraId="0C09765A" w14:textId="77777777" w:rsidR="00DE6E12" w:rsidRPr="00C2565B" w:rsidRDefault="00DE6E12" w:rsidP="00DE6E12">
      <w:pPr>
        <w:pStyle w:val="Default"/>
        <w:rPr>
          <w:rFonts w:asciiTheme="minorHAnsi" w:hAnsiTheme="minorHAnsi" w:cstheme="minorHAnsi"/>
          <w:sz w:val="20"/>
          <w:szCs w:val="20"/>
        </w:rPr>
      </w:pPr>
      <w:r w:rsidRPr="00C2565B">
        <w:rPr>
          <w:rFonts w:asciiTheme="minorHAnsi" w:hAnsiTheme="minorHAnsi" w:cstheme="minorHAnsi"/>
          <w:sz w:val="20"/>
          <w:szCs w:val="20"/>
        </w:rPr>
        <w:t xml:space="preserve">Syftet med insättningsgarantin är att stärka skyddet för allmänhetens insättningar och bidra till stabilitet i det finansiella systemet. Den infördes i Sverige 1996 och baseras på ett EG-direktiv. Motsvarande garanti finns i övriga EU-länder. Insättningsgaranti finns också i flera länder utanför EU. </w:t>
      </w:r>
    </w:p>
    <w:p w14:paraId="620E0EFE" w14:textId="77777777" w:rsidR="00DE6E12" w:rsidRPr="00C2565B" w:rsidRDefault="00DE6E12" w:rsidP="00DE6E12">
      <w:pPr>
        <w:pStyle w:val="Default"/>
        <w:rPr>
          <w:rFonts w:asciiTheme="minorHAnsi" w:hAnsiTheme="minorHAnsi" w:cstheme="minorHAnsi"/>
          <w:b/>
          <w:bCs/>
          <w:sz w:val="20"/>
          <w:szCs w:val="20"/>
        </w:rPr>
      </w:pPr>
    </w:p>
    <w:p w14:paraId="50621E3C" w14:textId="77777777" w:rsidR="00DE6E12" w:rsidRPr="00C2565B" w:rsidRDefault="00DE6E12" w:rsidP="00DE6E12">
      <w:pPr>
        <w:pStyle w:val="Default"/>
        <w:rPr>
          <w:rFonts w:asciiTheme="minorHAnsi" w:hAnsiTheme="minorHAnsi" w:cstheme="minorHAnsi"/>
          <w:sz w:val="20"/>
          <w:szCs w:val="20"/>
        </w:rPr>
      </w:pPr>
      <w:r w:rsidRPr="00C2565B">
        <w:rPr>
          <w:rFonts w:asciiTheme="minorHAnsi" w:hAnsiTheme="minorHAnsi" w:cstheme="minorHAnsi"/>
          <w:b/>
          <w:bCs/>
          <w:sz w:val="20"/>
          <w:szCs w:val="20"/>
        </w:rPr>
        <w:t xml:space="preserve">Så fungerar insättningsgarantin </w:t>
      </w:r>
    </w:p>
    <w:p w14:paraId="5F2EB637" w14:textId="77777777" w:rsidR="00DE6E12" w:rsidRPr="00C2565B" w:rsidRDefault="00DE6E12" w:rsidP="00DE6E12">
      <w:pPr>
        <w:pStyle w:val="Default"/>
        <w:rPr>
          <w:rFonts w:asciiTheme="minorHAnsi" w:hAnsiTheme="minorHAnsi" w:cstheme="minorHAnsi"/>
          <w:sz w:val="20"/>
          <w:szCs w:val="20"/>
        </w:rPr>
      </w:pPr>
      <w:r w:rsidRPr="00C2565B">
        <w:rPr>
          <w:rFonts w:asciiTheme="minorHAnsi" w:hAnsiTheme="minorHAnsi" w:cstheme="minorHAnsi"/>
          <w:sz w:val="20"/>
          <w:szCs w:val="20"/>
        </w:rPr>
        <w:t xml:space="preserve">Du har rätt till ersättning om ett institut som tillhör insättningsgarantin går i konkurs eller </w:t>
      </w:r>
      <w:r w:rsidR="00EA532D">
        <w:rPr>
          <w:rFonts w:asciiTheme="minorHAnsi" w:hAnsiTheme="minorHAnsi" w:cstheme="minorHAnsi"/>
          <w:sz w:val="20"/>
          <w:szCs w:val="20"/>
        </w:rPr>
        <w:t>om</w:t>
      </w:r>
      <w:r w:rsidRPr="00C2565B">
        <w:rPr>
          <w:rFonts w:asciiTheme="minorHAnsi" w:hAnsiTheme="minorHAnsi" w:cstheme="minorHAnsi"/>
          <w:sz w:val="20"/>
          <w:szCs w:val="20"/>
        </w:rPr>
        <w:t xml:space="preserve"> Finansinspektionen beslutar att insättningsgarantin ska träda in. </w:t>
      </w:r>
    </w:p>
    <w:p w14:paraId="1E1154B1" w14:textId="36E3DFB6" w:rsidR="00DE6E12" w:rsidRPr="00C2565B" w:rsidRDefault="00DE6E12" w:rsidP="00DE6E12">
      <w:pPr>
        <w:pStyle w:val="Default"/>
        <w:rPr>
          <w:rFonts w:asciiTheme="minorHAnsi" w:hAnsiTheme="minorHAnsi" w:cstheme="minorHAnsi"/>
          <w:sz w:val="20"/>
          <w:szCs w:val="20"/>
        </w:rPr>
      </w:pPr>
      <w:r w:rsidRPr="00C2565B">
        <w:rPr>
          <w:rFonts w:asciiTheme="minorHAnsi" w:hAnsiTheme="minorHAnsi" w:cstheme="minorHAnsi"/>
          <w:sz w:val="20"/>
          <w:szCs w:val="20"/>
        </w:rPr>
        <w:t xml:space="preserve">Om ditt konto omfattas av garantin har du rätt till ersättning för det belopp du satt in plus ränta fram till konkursbeslutet eller beslutet om att garantin ska träda in. Du kan maximalt få ersättning med </w:t>
      </w:r>
      <w:r w:rsidR="00D1156C">
        <w:rPr>
          <w:rFonts w:asciiTheme="minorHAnsi" w:hAnsiTheme="minorHAnsi" w:cstheme="minorHAnsi"/>
          <w:sz w:val="20"/>
          <w:szCs w:val="20"/>
        </w:rPr>
        <w:t>1 050 000</w:t>
      </w:r>
      <w:r w:rsidRPr="00C2565B">
        <w:rPr>
          <w:rFonts w:asciiTheme="minorHAnsi" w:hAnsiTheme="minorHAnsi" w:cstheme="minorHAnsi"/>
          <w:sz w:val="20"/>
          <w:szCs w:val="20"/>
        </w:rPr>
        <w:t xml:space="preserve"> svenska kronor per kund och institut. Om ett konto är öppnat i två eller flera personers namn räknas varje person för sig. </w:t>
      </w:r>
    </w:p>
    <w:p w14:paraId="19EAD5AE" w14:textId="77777777" w:rsidR="00DE6E12" w:rsidRPr="00C2565B" w:rsidRDefault="00DE6E12" w:rsidP="00DE6E12">
      <w:pPr>
        <w:pStyle w:val="Default"/>
        <w:rPr>
          <w:rFonts w:asciiTheme="minorHAnsi" w:hAnsiTheme="minorHAnsi" w:cstheme="minorHAnsi"/>
          <w:sz w:val="20"/>
          <w:szCs w:val="20"/>
        </w:rPr>
      </w:pPr>
      <w:r w:rsidRPr="00C2565B">
        <w:rPr>
          <w:rFonts w:asciiTheme="minorHAnsi" w:hAnsiTheme="minorHAnsi" w:cstheme="minorHAnsi"/>
          <w:sz w:val="20"/>
          <w:szCs w:val="20"/>
        </w:rPr>
        <w:t xml:space="preserve">Din ersättning påverkas inte av om du har skulder till institutet. </w:t>
      </w:r>
    </w:p>
    <w:p w14:paraId="611443B5" w14:textId="77777777" w:rsidR="00DE6E12" w:rsidRPr="00C2565B" w:rsidRDefault="00DE6E12" w:rsidP="00DE6E12">
      <w:pPr>
        <w:pStyle w:val="Default"/>
        <w:rPr>
          <w:rFonts w:asciiTheme="minorHAnsi" w:hAnsiTheme="minorHAnsi" w:cstheme="minorHAnsi"/>
          <w:b/>
          <w:bCs/>
          <w:sz w:val="20"/>
          <w:szCs w:val="20"/>
        </w:rPr>
      </w:pPr>
    </w:p>
    <w:p w14:paraId="61766C3D" w14:textId="77777777" w:rsidR="00DE6E12" w:rsidRPr="00C2565B" w:rsidRDefault="00DE6E12" w:rsidP="00DE6E12">
      <w:pPr>
        <w:pStyle w:val="Default"/>
        <w:rPr>
          <w:rFonts w:asciiTheme="minorHAnsi" w:hAnsiTheme="minorHAnsi" w:cstheme="minorHAnsi"/>
          <w:sz w:val="20"/>
          <w:szCs w:val="20"/>
        </w:rPr>
      </w:pPr>
      <w:r w:rsidRPr="00C2565B">
        <w:rPr>
          <w:rFonts w:asciiTheme="minorHAnsi" w:hAnsiTheme="minorHAnsi" w:cstheme="minorHAnsi"/>
          <w:b/>
          <w:bCs/>
          <w:sz w:val="20"/>
          <w:szCs w:val="20"/>
        </w:rPr>
        <w:t xml:space="preserve">Konton som omfattas av garantin </w:t>
      </w:r>
    </w:p>
    <w:p w14:paraId="1723592C" w14:textId="77777777" w:rsidR="00DE6E12" w:rsidRPr="00C2565B" w:rsidRDefault="00DE6E12" w:rsidP="00DE6E12">
      <w:pPr>
        <w:pStyle w:val="Default"/>
        <w:rPr>
          <w:rFonts w:asciiTheme="minorHAnsi" w:hAnsiTheme="minorHAnsi" w:cstheme="minorHAnsi"/>
          <w:sz w:val="20"/>
          <w:szCs w:val="20"/>
        </w:rPr>
      </w:pPr>
      <w:r w:rsidRPr="00C2565B">
        <w:rPr>
          <w:rFonts w:asciiTheme="minorHAnsi" w:hAnsiTheme="minorHAnsi" w:cstheme="minorHAnsi"/>
          <w:sz w:val="20"/>
          <w:szCs w:val="20"/>
        </w:rPr>
        <w:t xml:space="preserve">Alla typer av konton omfattas av garantin oavsett om sparandet är bundet eller fritt att ta ut. Det individuella pensionssparandet omfattas inte av insättningsgarantin. Postväxlar faller utanför den definition av insättningar som finns i lagen om insättningsgaranti och omfattas alltså inte. </w:t>
      </w:r>
    </w:p>
    <w:p w14:paraId="4220ADDF" w14:textId="77777777" w:rsidR="00DE6E12" w:rsidRPr="00C2565B" w:rsidRDefault="00DE6E12" w:rsidP="00DE6E12">
      <w:pPr>
        <w:pStyle w:val="Default"/>
        <w:rPr>
          <w:rFonts w:asciiTheme="minorHAnsi" w:hAnsiTheme="minorHAnsi" w:cstheme="minorHAnsi"/>
          <w:sz w:val="20"/>
          <w:szCs w:val="20"/>
        </w:rPr>
      </w:pPr>
      <w:r w:rsidRPr="00C2565B">
        <w:rPr>
          <w:rFonts w:asciiTheme="minorHAnsi" w:hAnsiTheme="minorHAnsi" w:cstheme="minorHAnsi"/>
          <w:sz w:val="20"/>
          <w:szCs w:val="20"/>
        </w:rPr>
        <w:t xml:space="preserve">Riksgälden godkänner de kontoslag som omfattas av insättningsgarantin. </w:t>
      </w:r>
    </w:p>
    <w:p w14:paraId="7ABB2963" w14:textId="77777777" w:rsidR="00DE6E12" w:rsidRPr="00C2565B" w:rsidRDefault="00DE6E12" w:rsidP="00DE6E12">
      <w:pPr>
        <w:pStyle w:val="Default"/>
        <w:rPr>
          <w:rFonts w:asciiTheme="minorHAnsi" w:hAnsiTheme="minorHAnsi" w:cstheme="minorHAnsi"/>
          <w:sz w:val="20"/>
          <w:szCs w:val="20"/>
        </w:rPr>
      </w:pPr>
      <w:r w:rsidRPr="00C2565B">
        <w:rPr>
          <w:rFonts w:asciiTheme="minorHAnsi" w:hAnsiTheme="minorHAnsi" w:cstheme="minorHAnsi"/>
          <w:sz w:val="20"/>
          <w:szCs w:val="20"/>
        </w:rPr>
        <w:t xml:space="preserve">För klientmedelskonton är huvudregeln att varje enskild ägare till pengarna får ersättning upp till det maximala beloppet för insättningsgarantin. Ett klientmedelskonto är ett konto där till exempel en advokatbyrå eller ett värdepappersbolag satt in pengar för flera kunder på ett och samma konto. </w:t>
      </w:r>
    </w:p>
    <w:p w14:paraId="792FB1F3" w14:textId="77777777" w:rsidR="00DE6E12" w:rsidRPr="00C2565B" w:rsidRDefault="00DE6E12" w:rsidP="00DE6E12">
      <w:pPr>
        <w:pStyle w:val="Default"/>
        <w:rPr>
          <w:rFonts w:asciiTheme="minorHAnsi" w:hAnsiTheme="minorHAnsi" w:cstheme="minorHAnsi"/>
          <w:b/>
          <w:bCs/>
          <w:sz w:val="20"/>
          <w:szCs w:val="20"/>
        </w:rPr>
      </w:pPr>
    </w:p>
    <w:p w14:paraId="35CAA233" w14:textId="77777777" w:rsidR="00DE6E12" w:rsidRPr="00C2565B" w:rsidRDefault="00DE6E12" w:rsidP="00DE6E12">
      <w:pPr>
        <w:pStyle w:val="Default"/>
        <w:rPr>
          <w:rFonts w:asciiTheme="minorHAnsi" w:hAnsiTheme="minorHAnsi" w:cstheme="minorHAnsi"/>
          <w:sz w:val="20"/>
          <w:szCs w:val="20"/>
        </w:rPr>
      </w:pPr>
      <w:r w:rsidRPr="00C2565B">
        <w:rPr>
          <w:rFonts w:asciiTheme="minorHAnsi" w:hAnsiTheme="minorHAnsi" w:cstheme="minorHAnsi"/>
          <w:b/>
          <w:bCs/>
          <w:sz w:val="20"/>
          <w:szCs w:val="20"/>
        </w:rPr>
        <w:t xml:space="preserve">För vem gäller garantin </w:t>
      </w:r>
    </w:p>
    <w:p w14:paraId="39BD6029" w14:textId="77777777" w:rsidR="00DE6E12" w:rsidRPr="00C2565B" w:rsidRDefault="00DE6E12" w:rsidP="00DE6E12">
      <w:pPr>
        <w:pStyle w:val="Default"/>
        <w:rPr>
          <w:rFonts w:asciiTheme="minorHAnsi" w:hAnsiTheme="minorHAnsi" w:cstheme="minorHAnsi"/>
          <w:sz w:val="20"/>
          <w:szCs w:val="20"/>
        </w:rPr>
      </w:pPr>
      <w:r w:rsidRPr="00C2565B">
        <w:rPr>
          <w:rFonts w:asciiTheme="minorHAnsi" w:hAnsiTheme="minorHAnsi" w:cstheme="minorHAnsi"/>
          <w:sz w:val="20"/>
          <w:szCs w:val="20"/>
        </w:rPr>
        <w:t xml:space="preserve">Insättningsgarantin gäller för alla kunder, såväl privatpersoner (inklusive omyndiga) som företag och andra juridiska personer till exempel dödsbon. </w:t>
      </w:r>
    </w:p>
    <w:p w14:paraId="311ED25F" w14:textId="77777777" w:rsidR="00DE6E12" w:rsidRPr="00C2565B" w:rsidRDefault="00DE6E12" w:rsidP="00DE6E12">
      <w:pPr>
        <w:pStyle w:val="Default"/>
        <w:rPr>
          <w:rFonts w:asciiTheme="minorHAnsi" w:hAnsiTheme="minorHAnsi" w:cstheme="minorHAnsi"/>
          <w:sz w:val="20"/>
          <w:szCs w:val="20"/>
        </w:rPr>
      </w:pPr>
      <w:r w:rsidRPr="00C2565B">
        <w:rPr>
          <w:rFonts w:asciiTheme="minorHAnsi" w:hAnsiTheme="minorHAnsi" w:cstheme="minorHAnsi"/>
          <w:sz w:val="20"/>
          <w:szCs w:val="20"/>
        </w:rPr>
        <w:t xml:space="preserve">Institut som själva tillhör insättningsgarantin kan dock inte få ersättning. </w:t>
      </w:r>
    </w:p>
    <w:p w14:paraId="06795950" w14:textId="77777777" w:rsidR="00DE6E12" w:rsidRPr="00C2565B" w:rsidRDefault="00DE6E12" w:rsidP="00DE6E12">
      <w:pPr>
        <w:pStyle w:val="Default"/>
        <w:rPr>
          <w:rFonts w:asciiTheme="minorHAnsi" w:hAnsiTheme="minorHAnsi" w:cstheme="minorHAnsi"/>
          <w:b/>
          <w:bCs/>
          <w:sz w:val="20"/>
          <w:szCs w:val="20"/>
        </w:rPr>
      </w:pPr>
    </w:p>
    <w:p w14:paraId="7863FA85" w14:textId="77777777" w:rsidR="00DE6E12" w:rsidRPr="00C2565B" w:rsidRDefault="00DE6E12" w:rsidP="00DE6E12">
      <w:pPr>
        <w:pStyle w:val="Default"/>
        <w:rPr>
          <w:rFonts w:asciiTheme="minorHAnsi" w:hAnsiTheme="minorHAnsi" w:cstheme="minorHAnsi"/>
          <w:sz w:val="20"/>
          <w:szCs w:val="20"/>
        </w:rPr>
      </w:pPr>
      <w:r w:rsidRPr="00C2565B">
        <w:rPr>
          <w:rFonts w:asciiTheme="minorHAnsi" w:hAnsiTheme="minorHAnsi" w:cstheme="minorHAnsi"/>
          <w:b/>
          <w:bCs/>
          <w:sz w:val="20"/>
          <w:szCs w:val="20"/>
        </w:rPr>
        <w:t xml:space="preserve">Utbetalning av ersättning </w:t>
      </w:r>
    </w:p>
    <w:p w14:paraId="2E8EC3D1" w14:textId="77777777" w:rsidR="00DE6E12" w:rsidRPr="00C2565B" w:rsidRDefault="00DE6E12" w:rsidP="00DE6E12">
      <w:pPr>
        <w:pStyle w:val="Default"/>
        <w:rPr>
          <w:rFonts w:asciiTheme="minorHAnsi" w:hAnsiTheme="minorHAnsi" w:cstheme="minorHAnsi"/>
          <w:sz w:val="20"/>
          <w:szCs w:val="20"/>
        </w:rPr>
      </w:pPr>
      <w:r w:rsidRPr="00C2565B">
        <w:rPr>
          <w:rFonts w:asciiTheme="minorHAnsi" w:hAnsiTheme="minorHAnsi" w:cstheme="minorHAnsi"/>
          <w:sz w:val="20"/>
          <w:szCs w:val="20"/>
        </w:rPr>
        <w:t xml:space="preserve">Riksgälden betalar ut ersättningen inom sju arbetsdagar från den dag då insättningsgarantin träder in. </w:t>
      </w:r>
    </w:p>
    <w:p w14:paraId="35FAFA60" w14:textId="77777777" w:rsidR="00DE6E12" w:rsidRPr="00C2565B" w:rsidRDefault="00DE6E12" w:rsidP="00DE6E12">
      <w:pPr>
        <w:pStyle w:val="Default"/>
        <w:rPr>
          <w:rFonts w:asciiTheme="minorHAnsi" w:hAnsiTheme="minorHAnsi" w:cstheme="minorHAnsi"/>
          <w:sz w:val="20"/>
          <w:szCs w:val="20"/>
        </w:rPr>
      </w:pPr>
      <w:r w:rsidRPr="00C2565B">
        <w:rPr>
          <w:rFonts w:asciiTheme="minorHAnsi" w:hAnsiTheme="minorHAnsi" w:cstheme="minorHAnsi"/>
          <w:sz w:val="20"/>
          <w:szCs w:val="20"/>
        </w:rPr>
        <w:t xml:space="preserve">När insättningsgarantin träder in kontaktar vi dig. Du behöver alltså inte själv ansöka om ersättning. </w:t>
      </w:r>
    </w:p>
    <w:p w14:paraId="7863F95B" w14:textId="51931335" w:rsidR="00DE6E12" w:rsidRPr="00C2565B" w:rsidRDefault="00DE6E12" w:rsidP="00DE6E12">
      <w:pPr>
        <w:pStyle w:val="Default"/>
        <w:rPr>
          <w:rFonts w:asciiTheme="minorHAnsi" w:hAnsiTheme="minorHAnsi" w:cstheme="minorHAnsi"/>
          <w:sz w:val="20"/>
          <w:szCs w:val="20"/>
        </w:rPr>
      </w:pPr>
      <w:r w:rsidRPr="00C2565B">
        <w:rPr>
          <w:rFonts w:asciiTheme="minorHAnsi" w:hAnsiTheme="minorHAnsi" w:cstheme="minorHAnsi"/>
          <w:sz w:val="20"/>
          <w:szCs w:val="20"/>
        </w:rPr>
        <w:t xml:space="preserve">Den maximala ersättningen är </w:t>
      </w:r>
      <w:r w:rsidR="00D1156C">
        <w:rPr>
          <w:rFonts w:asciiTheme="minorHAnsi" w:hAnsiTheme="minorHAnsi" w:cstheme="minorHAnsi"/>
          <w:sz w:val="20"/>
          <w:szCs w:val="20"/>
        </w:rPr>
        <w:t>1 050 000</w:t>
      </w:r>
      <w:r w:rsidRPr="00C2565B">
        <w:rPr>
          <w:rFonts w:asciiTheme="minorHAnsi" w:hAnsiTheme="minorHAnsi" w:cstheme="minorHAnsi"/>
          <w:sz w:val="20"/>
          <w:szCs w:val="20"/>
        </w:rPr>
        <w:t xml:space="preserve"> kronor per kund och institut. </w:t>
      </w:r>
    </w:p>
    <w:p w14:paraId="2E621903" w14:textId="77777777" w:rsidR="00DE6E12" w:rsidRPr="00C2565B" w:rsidRDefault="00DE6E12" w:rsidP="00DE6E12">
      <w:pPr>
        <w:pStyle w:val="Default"/>
        <w:rPr>
          <w:rFonts w:asciiTheme="minorHAnsi" w:hAnsiTheme="minorHAnsi" w:cstheme="minorHAnsi"/>
          <w:sz w:val="20"/>
          <w:szCs w:val="20"/>
        </w:rPr>
      </w:pPr>
      <w:r w:rsidRPr="00C2565B">
        <w:rPr>
          <w:rFonts w:asciiTheme="minorHAnsi" w:hAnsiTheme="minorHAnsi" w:cstheme="minorHAnsi"/>
          <w:sz w:val="20"/>
          <w:szCs w:val="20"/>
        </w:rPr>
        <w:t xml:space="preserve">För insättningar hos filialer till utländska institut i Sverige träder rätten till ersättning in först efter beslut hos behörig myndighet i institutets hemland. Den svenska regeringen har möjlighet att utvidga garantin till kreditinstitut med filial i Sverige där hemlandets insättningsgaranti inte kan infrias. </w:t>
      </w:r>
    </w:p>
    <w:p w14:paraId="046652CC" w14:textId="77777777" w:rsidR="00DE6E12" w:rsidRPr="00C2565B" w:rsidRDefault="00DE6E12" w:rsidP="00DE6E12">
      <w:pPr>
        <w:rPr>
          <w:rFonts w:cstheme="minorHAnsi"/>
          <w:sz w:val="20"/>
          <w:szCs w:val="20"/>
        </w:rPr>
      </w:pPr>
    </w:p>
    <w:p w14:paraId="64831341" w14:textId="77777777" w:rsidR="00DE6E12" w:rsidRPr="00C2565B" w:rsidRDefault="00DE6E12" w:rsidP="00DE6E12">
      <w:pPr>
        <w:rPr>
          <w:rFonts w:cstheme="minorHAnsi"/>
          <w:sz w:val="20"/>
          <w:szCs w:val="20"/>
        </w:rPr>
      </w:pPr>
      <w:r w:rsidRPr="00C2565B">
        <w:rPr>
          <w:rFonts w:cstheme="minorHAnsi"/>
          <w:sz w:val="20"/>
          <w:szCs w:val="20"/>
        </w:rPr>
        <w:t>Källhänvisning: www.ign.se www.riksgalden.se/sv/Insattningsgarantin/Om_Insattningsgarantin</w:t>
      </w:r>
    </w:p>
    <w:p w14:paraId="138698D5" w14:textId="77777777" w:rsidR="00DE6E12" w:rsidRPr="00C2565B" w:rsidRDefault="00DE6E12" w:rsidP="00DE6E12">
      <w:pPr>
        <w:pStyle w:val="Default"/>
        <w:rPr>
          <w:rFonts w:asciiTheme="minorHAnsi" w:hAnsiTheme="minorHAnsi" w:cstheme="minorHAnsi"/>
          <w:sz w:val="20"/>
          <w:szCs w:val="20"/>
        </w:rPr>
      </w:pPr>
    </w:p>
    <w:p w14:paraId="2DA1CC4B" w14:textId="77777777" w:rsidR="00DE6E12" w:rsidRPr="00DE6E12" w:rsidRDefault="00DE6E12" w:rsidP="00DE6E12">
      <w:pPr>
        <w:pStyle w:val="Default"/>
        <w:rPr>
          <w:rFonts w:asciiTheme="minorHAnsi" w:hAnsiTheme="minorHAnsi" w:cstheme="minorHAnsi"/>
          <w:sz w:val="20"/>
          <w:szCs w:val="20"/>
        </w:rPr>
      </w:pPr>
    </w:p>
    <w:sectPr w:rsidR="00DE6E12" w:rsidRPr="00DE6E1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E746B" w14:textId="77777777" w:rsidR="003A6800" w:rsidRDefault="003A6800" w:rsidP="003A6800">
      <w:pPr>
        <w:spacing w:after="0" w:line="240" w:lineRule="auto"/>
      </w:pPr>
      <w:r>
        <w:separator/>
      </w:r>
    </w:p>
  </w:endnote>
  <w:endnote w:type="continuationSeparator" w:id="0">
    <w:p w14:paraId="38B5E97C" w14:textId="77777777" w:rsidR="003A6800" w:rsidRDefault="003A6800" w:rsidP="003A6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l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87B3E" w14:textId="77777777" w:rsidR="00FA0185" w:rsidRDefault="00FA0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3EB82" w14:textId="79E4DF48" w:rsidR="00FA0185" w:rsidRPr="00FA0185" w:rsidRDefault="00D204CD" w:rsidP="00D204CD">
    <w:pPr>
      <w:pStyle w:val="Footer"/>
      <w:jc w:val="center"/>
      <w:rPr>
        <w:sz w:val="20"/>
        <w:szCs w:val="20"/>
      </w:rPr>
    </w:pPr>
    <w:bookmarkStart w:id="0" w:name="_Hlk80354024"/>
    <w:r w:rsidRPr="00FA0185">
      <w:rPr>
        <w:sz w:val="20"/>
        <w:szCs w:val="20"/>
      </w:rPr>
      <w:t xml:space="preserve">AK Nordic AB/PRA Spar </w:t>
    </w:r>
    <w:r w:rsidR="00FA0185" w:rsidRPr="00FA0185">
      <w:rPr>
        <w:sz w:val="20"/>
        <w:szCs w:val="20"/>
      </w:rPr>
      <w:t>Box 4068, 169 04 Solna</w:t>
    </w:r>
    <w:r w:rsidRPr="00FA0185">
      <w:rPr>
        <w:sz w:val="20"/>
        <w:szCs w:val="20"/>
      </w:rPr>
      <w:t xml:space="preserve"> Tfn +46 </w:t>
    </w:r>
    <w:r w:rsidR="00D40E41">
      <w:rPr>
        <w:sz w:val="20"/>
        <w:szCs w:val="20"/>
      </w:rPr>
      <w:t>8 55 12 17 15</w:t>
    </w:r>
  </w:p>
  <w:p w14:paraId="506B56AA" w14:textId="2272A5EB" w:rsidR="00D204CD" w:rsidRPr="00FA0185" w:rsidRDefault="00D204CD" w:rsidP="00D204CD">
    <w:pPr>
      <w:pStyle w:val="Footer"/>
      <w:jc w:val="center"/>
      <w:rPr>
        <w:sz w:val="20"/>
        <w:szCs w:val="20"/>
        <w:lang w:val="de-DE"/>
      </w:rPr>
    </w:pPr>
    <w:r w:rsidRPr="00FA0185">
      <w:rPr>
        <w:sz w:val="20"/>
        <w:szCs w:val="20"/>
        <w:lang w:val="de-DE"/>
      </w:rPr>
      <w:t xml:space="preserve">E-post </w:t>
    </w:r>
    <w:hyperlink r:id="rId1" w:history="1">
      <w:r w:rsidRPr="00FA0185">
        <w:rPr>
          <w:rStyle w:val="Hyperlink"/>
          <w:sz w:val="20"/>
          <w:szCs w:val="20"/>
          <w:lang w:val="de-DE"/>
        </w:rPr>
        <w:t>kundservice@praspar.se</w:t>
      </w:r>
    </w:hyperlink>
    <w:r w:rsidRPr="00FA0185">
      <w:rPr>
        <w:sz w:val="20"/>
        <w:szCs w:val="20"/>
        <w:lang w:val="de-DE"/>
      </w:rPr>
      <w:t xml:space="preserve"> </w:t>
    </w:r>
  </w:p>
  <w:p w14:paraId="40E88FA6" w14:textId="0231BC5F" w:rsidR="00D204CD" w:rsidRPr="00D40E41" w:rsidRDefault="00D204CD" w:rsidP="00D204CD">
    <w:pPr>
      <w:pStyle w:val="Footer"/>
      <w:jc w:val="center"/>
      <w:rPr>
        <w:sz w:val="20"/>
        <w:szCs w:val="20"/>
        <w:lang w:val="de-DE"/>
      </w:rPr>
    </w:pPr>
    <w:r w:rsidRPr="00FA0185">
      <w:rPr>
        <w:sz w:val="20"/>
        <w:szCs w:val="20"/>
        <w:lang w:val="de-DE"/>
      </w:rPr>
      <w:t xml:space="preserve"> </w:t>
    </w:r>
    <w:hyperlink r:id="rId2" w:history="1">
      <w:r w:rsidRPr="00D40E41">
        <w:rPr>
          <w:rStyle w:val="Hyperlink"/>
          <w:sz w:val="20"/>
          <w:szCs w:val="20"/>
          <w:lang w:val="de-DE"/>
        </w:rPr>
        <w:t>www.praspar.se</w:t>
      </w:r>
    </w:hyperlink>
    <w:r w:rsidRPr="00D40E41">
      <w:rPr>
        <w:sz w:val="20"/>
        <w:szCs w:val="20"/>
        <w:lang w:val="de-DE"/>
      </w:rPr>
      <w:t xml:space="preserve"> Org.nr 556197-8825 </w:t>
    </w:r>
  </w:p>
  <w:bookmarkEnd w:id="0"/>
  <w:p w14:paraId="49303ED5" w14:textId="70E25F7D" w:rsidR="00D204CD" w:rsidRPr="00D40E41" w:rsidRDefault="00D204CD">
    <w:pPr>
      <w:pStyle w:val="Footer"/>
      <w:rPr>
        <w:lang w:val="de-DE"/>
      </w:rPr>
    </w:pPr>
  </w:p>
  <w:p w14:paraId="7F9E855D" w14:textId="77777777" w:rsidR="00D204CD" w:rsidRPr="00D40E41" w:rsidRDefault="00D204CD">
    <w:pPr>
      <w:pStyle w:val="Footer"/>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5FD2" w14:textId="77777777" w:rsidR="00FA0185" w:rsidRDefault="00FA0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A594A" w14:textId="77777777" w:rsidR="003A6800" w:rsidRDefault="003A6800" w:rsidP="003A6800">
      <w:pPr>
        <w:spacing w:after="0" w:line="240" w:lineRule="auto"/>
      </w:pPr>
      <w:r>
        <w:separator/>
      </w:r>
    </w:p>
  </w:footnote>
  <w:footnote w:type="continuationSeparator" w:id="0">
    <w:p w14:paraId="3982B7D0" w14:textId="77777777" w:rsidR="003A6800" w:rsidRDefault="003A6800" w:rsidP="003A6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11CB0" w14:textId="77777777" w:rsidR="00FA0185" w:rsidRDefault="00FA0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B39B" w14:textId="0EF01707" w:rsidR="00D204CD" w:rsidRDefault="00D204CD">
    <w:pPr>
      <w:pStyle w:val="Header"/>
    </w:pPr>
    <w:r>
      <w:rPr>
        <w:noProof/>
        <w:lang w:eastAsia="sv-SE"/>
      </w:rPr>
      <w:drawing>
        <wp:inline distT="0" distB="0" distL="0" distR="0" wp14:anchorId="2BB023C9" wp14:editId="1F59B15C">
          <wp:extent cx="1743075" cy="931349"/>
          <wp:effectExtent l="0" t="0" r="0" b="0"/>
          <wp:docPr id="2" name="Bildobjekt 2" descr="PRA Spar-logo_03_25_19-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 Spar-logo_03_25_19-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1835" cy="94137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F48B" w14:textId="77777777" w:rsidR="00FA0185" w:rsidRDefault="00FA01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6E12"/>
    <w:rsid w:val="002029BA"/>
    <w:rsid w:val="003A6800"/>
    <w:rsid w:val="006B5699"/>
    <w:rsid w:val="008717C4"/>
    <w:rsid w:val="0093208F"/>
    <w:rsid w:val="00A30B43"/>
    <w:rsid w:val="00C2565B"/>
    <w:rsid w:val="00D1156C"/>
    <w:rsid w:val="00D204CD"/>
    <w:rsid w:val="00D40E41"/>
    <w:rsid w:val="00DE6E12"/>
    <w:rsid w:val="00EA532D"/>
    <w:rsid w:val="00FA01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9FA98"/>
  <w15:docId w15:val="{9299F347-66ED-4240-84AA-7AEC519C5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6E12"/>
    <w:pPr>
      <w:autoSpaceDE w:val="0"/>
      <w:autoSpaceDN w:val="0"/>
      <w:adjustRightInd w:val="0"/>
      <w:spacing w:after="0" w:line="240" w:lineRule="auto"/>
    </w:pPr>
    <w:rPr>
      <w:rFonts w:ascii="Aller" w:hAnsi="Aller" w:cs="Aller"/>
      <w:color w:val="000000"/>
      <w:sz w:val="24"/>
      <w:szCs w:val="24"/>
    </w:rPr>
  </w:style>
  <w:style w:type="paragraph" w:styleId="BalloonText">
    <w:name w:val="Balloon Text"/>
    <w:basedOn w:val="Normal"/>
    <w:link w:val="BalloonTextChar"/>
    <w:uiPriority w:val="99"/>
    <w:semiHidden/>
    <w:unhideWhenUsed/>
    <w:rsid w:val="00DE6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E12"/>
    <w:rPr>
      <w:rFonts w:ascii="Tahoma" w:hAnsi="Tahoma" w:cs="Tahoma"/>
      <w:sz w:val="16"/>
      <w:szCs w:val="16"/>
    </w:rPr>
  </w:style>
  <w:style w:type="paragraph" w:styleId="Header">
    <w:name w:val="header"/>
    <w:basedOn w:val="Normal"/>
    <w:link w:val="HeaderChar"/>
    <w:uiPriority w:val="99"/>
    <w:unhideWhenUsed/>
    <w:rsid w:val="003A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800"/>
  </w:style>
  <w:style w:type="paragraph" w:styleId="Footer">
    <w:name w:val="footer"/>
    <w:basedOn w:val="Normal"/>
    <w:link w:val="FooterChar"/>
    <w:uiPriority w:val="99"/>
    <w:unhideWhenUsed/>
    <w:rsid w:val="003A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800"/>
  </w:style>
  <w:style w:type="character" w:styleId="Hyperlink">
    <w:name w:val="Hyperlink"/>
    <w:basedOn w:val="DefaultParagraphFont"/>
    <w:uiPriority w:val="99"/>
    <w:unhideWhenUsed/>
    <w:rsid w:val="00D204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raspar.se" TargetMode="External"/><Relationship Id="rId1" Type="http://schemas.openxmlformats.org/officeDocument/2006/relationships/hyperlink" Target="mailto:kundservice@praspar.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2661</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Aktiv Kapital</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Jordell</dc:creator>
  <cp:lastModifiedBy>Lisa Jordell</cp:lastModifiedBy>
  <cp:revision>2</cp:revision>
  <dcterms:created xsi:type="dcterms:W3CDTF">2023-09-21T06:52:00Z</dcterms:created>
  <dcterms:modified xsi:type="dcterms:W3CDTF">2023-09-21T06:52:00Z</dcterms:modified>
</cp:coreProperties>
</file>